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CC" w:rsidRDefault="005662CC" w:rsidP="009E22AA">
      <w:pPr>
        <w:jc w:val="center"/>
        <w:rPr>
          <w:b/>
          <w:sz w:val="46"/>
          <w:lang w:val="en-US"/>
        </w:rPr>
      </w:pPr>
      <w:r>
        <w:rPr>
          <w:b/>
          <w:noProof/>
          <w:lang w:val="en-US"/>
        </w:rPr>
        <w:drawing>
          <wp:anchor distT="0" distB="360045" distL="0" distR="0" simplePos="0" relativeHeight="251658240" behindDoc="1" locked="0" layoutInCell="1" allowOverlap="1">
            <wp:simplePos x="0" y="0"/>
            <wp:positionH relativeFrom="page">
              <wp:align>center</wp:align>
            </wp:positionH>
            <wp:positionV relativeFrom="paragraph">
              <wp:posOffset>0</wp:posOffset>
            </wp:positionV>
            <wp:extent cx="1752600" cy="915670"/>
            <wp:effectExtent l="0" t="0" r="0" b="0"/>
            <wp:wrapTight wrapText="bothSides">
              <wp:wrapPolygon edited="0">
                <wp:start x="0" y="0"/>
                <wp:lineTo x="0" y="21121"/>
                <wp:lineTo x="21365" y="21121"/>
                <wp:lineTo x="2136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53200" cy="9160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2CC" w:rsidRDefault="005662CC" w:rsidP="009E22AA">
      <w:pPr>
        <w:jc w:val="center"/>
        <w:rPr>
          <w:b/>
          <w:sz w:val="46"/>
          <w:lang w:val="en-US"/>
        </w:rPr>
      </w:pPr>
    </w:p>
    <w:p w:rsidR="00AD4F89" w:rsidRDefault="00AD4F89" w:rsidP="009E22AA">
      <w:pPr>
        <w:jc w:val="center"/>
        <w:rPr>
          <w:b/>
          <w:sz w:val="46"/>
          <w:lang w:val="en-US"/>
        </w:rPr>
      </w:pPr>
    </w:p>
    <w:p w:rsidR="00AF1529" w:rsidRPr="00AF1529" w:rsidRDefault="00297EAF" w:rsidP="00AF1529">
      <w:pPr>
        <w:pStyle w:val="a9"/>
        <w:rPr>
          <w:b/>
          <w:color w:val="019BFF"/>
          <w:sz w:val="20"/>
          <w:szCs w:val="34"/>
          <w:lang w:val="en-US"/>
        </w:rPr>
      </w:pPr>
      <w:r w:rsidRPr="00AF1529">
        <w:rPr>
          <w:b/>
          <w:color w:val="019BFF"/>
          <w:sz w:val="34"/>
          <w:szCs w:val="34"/>
          <w:lang w:val="en-US"/>
        </w:rPr>
        <w:t xml:space="preserve">Lync 2013 checklist </w:t>
      </w:r>
      <w:r w:rsidRPr="00AF1529">
        <w:rPr>
          <w:b/>
          <w:color w:val="019BFF"/>
          <w:sz w:val="20"/>
          <w:szCs w:val="34"/>
          <w:lang w:val="en-US"/>
        </w:rPr>
        <w:t>v.1.2</w:t>
      </w:r>
      <w:r w:rsidR="00AF1529" w:rsidRPr="00AF1529">
        <w:rPr>
          <w:b/>
          <w:i w:val="0"/>
          <w:color w:val="019BFF"/>
          <w:sz w:val="20"/>
          <w:szCs w:val="34"/>
          <w:lang w:val="en-US"/>
        </w:rPr>
        <w:br/>
      </w:r>
      <w:r w:rsidR="00AF1529">
        <w:rPr>
          <w:b/>
          <w:color w:val="019BFF"/>
          <w:sz w:val="20"/>
          <w:szCs w:val="34"/>
          <w:lang w:val="en-US"/>
        </w:rPr>
        <w:t>A</w:t>
      </w:r>
      <w:r w:rsidR="00AF1529" w:rsidRPr="00AF1529">
        <w:rPr>
          <w:b/>
          <w:color w:val="019BFF"/>
          <w:sz w:val="20"/>
          <w:szCs w:val="34"/>
          <w:lang w:val="en-US"/>
        </w:rPr>
        <w:t>ctual for Skype for Business Server 2015</w:t>
      </w:r>
    </w:p>
    <w:p w:rsidR="00D20A93" w:rsidRPr="00AF1529" w:rsidRDefault="00D20A93">
      <w:pPr>
        <w:rPr>
          <w:rStyle w:val="ab"/>
          <w:b/>
          <w:color w:val="019BFF"/>
          <w:lang w:val="en-US"/>
        </w:rPr>
      </w:pPr>
      <w:r w:rsidRPr="00AF1529">
        <w:rPr>
          <w:rStyle w:val="ab"/>
          <w:b/>
          <w:color w:val="019BFF"/>
          <w:lang w:val="en-US"/>
        </w:rPr>
        <w:t>Minimal hosted configuration</w:t>
      </w:r>
    </w:p>
    <w:p w:rsidR="00B47EFC" w:rsidRPr="00973E38" w:rsidRDefault="00B47EFC">
      <w:pPr>
        <w:rPr>
          <w:rStyle w:val="ab"/>
          <w:lang w:val="en-US"/>
        </w:rPr>
      </w:pPr>
      <w:r w:rsidRPr="00973E38">
        <w:rPr>
          <w:rStyle w:val="ab"/>
          <w:lang w:val="en-US"/>
        </w:rPr>
        <w:t>Basic services:</w:t>
      </w:r>
    </w:p>
    <w:p w:rsidR="00D20A93" w:rsidRDefault="00D20A93">
      <w:pPr>
        <w:rPr>
          <w:lang w:val="en-US"/>
        </w:rPr>
      </w:pPr>
      <w:r>
        <w:rPr>
          <w:lang w:val="en-US"/>
        </w:rPr>
        <w:t>1 x Lync Front-End server</w:t>
      </w:r>
    </w:p>
    <w:p w:rsidR="00D20A93" w:rsidRDefault="00D20A93">
      <w:pPr>
        <w:rPr>
          <w:lang w:val="en-US"/>
        </w:rPr>
      </w:pPr>
      <w:r>
        <w:rPr>
          <w:lang w:val="en-US"/>
        </w:rPr>
        <w:t>1 x Lync Edge server</w:t>
      </w:r>
    </w:p>
    <w:p w:rsidR="00D20A93" w:rsidRDefault="00D20A93">
      <w:pPr>
        <w:rPr>
          <w:lang w:val="en-US"/>
        </w:rPr>
      </w:pPr>
      <w:r>
        <w:rPr>
          <w:lang w:val="en-US"/>
        </w:rPr>
        <w:t>1 x IIS ARR server (reverse proxy for Front-End services)</w:t>
      </w:r>
    </w:p>
    <w:p w:rsidR="0000309A" w:rsidRDefault="0000309A">
      <w:pPr>
        <w:rPr>
          <w:lang w:val="en-US"/>
        </w:rPr>
      </w:pPr>
    </w:p>
    <w:p w:rsidR="00D20A93" w:rsidRPr="00AF1529" w:rsidRDefault="0074270F">
      <w:pPr>
        <w:rPr>
          <w:rStyle w:val="ab"/>
          <w:b/>
          <w:color w:val="019BFF"/>
          <w:lang w:val="en-US"/>
        </w:rPr>
      </w:pPr>
      <w:r w:rsidRPr="00AF1529">
        <w:rPr>
          <w:rStyle w:val="ab"/>
          <w:b/>
          <w:color w:val="019BFF"/>
          <w:lang w:val="en-US"/>
        </w:rPr>
        <w:t xml:space="preserve">Recommended by </w:t>
      </w:r>
      <w:r w:rsidR="0000309A">
        <w:rPr>
          <w:rStyle w:val="ab"/>
          <w:b/>
          <w:color w:val="019BFF"/>
          <w:lang w:val="en-US"/>
        </w:rPr>
        <w:t>Hosting.Build</w:t>
      </w:r>
    </w:p>
    <w:p w:rsidR="00D20A93" w:rsidRPr="00973E38" w:rsidRDefault="0074270F">
      <w:pPr>
        <w:rPr>
          <w:rStyle w:val="ab"/>
          <w:lang w:val="en-US"/>
        </w:rPr>
      </w:pPr>
      <w:r w:rsidRPr="00973E38">
        <w:rPr>
          <w:rStyle w:val="ab"/>
          <w:lang w:val="en-US"/>
        </w:rPr>
        <w:t>High available basic services:</w:t>
      </w:r>
    </w:p>
    <w:p w:rsidR="00D20A93" w:rsidRDefault="00D20A93" w:rsidP="00D20A93">
      <w:pPr>
        <w:rPr>
          <w:lang w:val="en-US"/>
        </w:rPr>
      </w:pPr>
      <w:r>
        <w:rPr>
          <w:lang w:val="en-US"/>
        </w:rPr>
        <w:t>2 x Lync Front-End server</w:t>
      </w:r>
    </w:p>
    <w:p w:rsidR="00D20A93" w:rsidRDefault="00D20A93" w:rsidP="00D20A93">
      <w:pPr>
        <w:rPr>
          <w:lang w:val="en-US"/>
        </w:rPr>
      </w:pPr>
      <w:r>
        <w:rPr>
          <w:lang w:val="en-US"/>
        </w:rPr>
        <w:t>2 x Lync Edge server</w:t>
      </w:r>
    </w:p>
    <w:p w:rsidR="00D20A93" w:rsidRDefault="00D20A93" w:rsidP="00D20A93">
      <w:pPr>
        <w:rPr>
          <w:lang w:val="en-US"/>
        </w:rPr>
      </w:pPr>
      <w:r>
        <w:rPr>
          <w:lang w:val="en-US"/>
        </w:rPr>
        <w:t>2 x IIS ARR server (reverse proxy for Front-End services)</w:t>
      </w:r>
    </w:p>
    <w:p w:rsidR="00D20A93" w:rsidRPr="00AF1529" w:rsidRDefault="0074270F">
      <w:pPr>
        <w:rPr>
          <w:rStyle w:val="ab"/>
          <w:lang w:val="en-US"/>
        </w:rPr>
      </w:pPr>
      <w:r w:rsidRPr="00AF1529">
        <w:rPr>
          <w:rStyle w:val="ab"/>
          <w:lang w:val="en-US"/>
        </w:rPr>
        <w:t>Good features</w:t>
      </w:r>
      <w:r w:rsidR="009E22AA" w:rsidRPr="00AF1529">
        <w:rPr>
          <w:rStyle w:val="ab"/>
          <w:lang w:val="en-US"/>
        </w:rPr>
        <w:t>:</w:t>
      </w:r>
    </w:p>
    <w:p w:rsidR="0074270F" w:rsidRDefault="009E22AA">
      <w:pPr>
        <w:rPr>
          <w:lang w:val="en-US"/>
        </w:rPr>
      </w:pPr>
      <w:r>
        <w:rPr>
          <w:lang w:val="en-US"/>
        </w:rPr>
        <w:t>1 x Persistent Chat s</w:t>
      </w:r>
      <w:r w:rsidR="0074270F" w:rsidRPr="0074270F">
        <w:rPr>
          <w:lang w:val="en-US"/>
        </w:rPr>
        <w:t>erver</w:t>
      </w:r>
    </w:p>
    <w:p w:rsidR="0074270F" w:rsidRDefault="0074270F">
      <w:pPr>
        <w:rPr>
          <w:rFonts w:asciiTheme="majorHAnsi" w:hAnsiTheme="majorHAnsi" w:cs="Segoe UI"/>
          <w:i/>
          <w:color w:val="2A2A2A"/>
          <w:sz w:val="19"/>
          <w:szCs w:val="19"/>
          <w:lang w:val="en-US"/>
        </w:rPr>
      </w:pPr>
      <w:r w:rsidRPr="009E22AA">
        <w:rPr>
          <w:rFonts w:asciiTheme="majorHAnsi" w:hAnsiTheme="majorHAnsi" w:cs="Segoe UI"/>
          <w:i/>
          <w:color w:val="2A2A2A"/>
          <w:sz w:val="19"/>
          <w:szCs w:val="19"/>
          <w:lang w:val="en-US"/>
        </w:rPr>
        <w:t>if you want to users to be able to participate in multiparty, topic-based conversations that persist over time. To provide more capacity and increased reliability, your topology can include multiple computers running Persistent Chat Server. You cannot collocate Persistent Chat Server with other server roles in an Enterprise pool. However, you can collocate Persistent Chat Server on a Standard Edition server. Persistent chat requires a database and, if you implement persistent chat compliance, a persistent chat compliance database, but the databases can be collocated with the Archiving database, Monitoring database, or on the Back End Server of an Enterprise Edition Front End pool. For details about planning the appropriate Persistent Chat Server topology, see</w:t>
      </w:r>
      <w:r w:rsidRPr="009E22AA">
        <w:rPr>
          <w:rStyle w:val="apple-converted-space"/>
          <w:rFonts w:asciiTheme="majorHAnsi" w:hAnsiTheme="majorHAnsi" w:cs="Segoe UI"/>
          <w:i/>
          <w:color w:val="2A2A2A"/>
          <w:sz w:val="19"/>
          <w:szCs w:val="19"/>
          <w:lang w:val="en-US"/>
        </w:rPr>
        <w:t> </w:t>
      </w:r>
      <w:hyperlink r:id="rId8" w:history="1">
        <w:r w:rsidRPr="009E22AA">
          <w:rPr>
            <w:rStyle w:val="a3"/>
            <w:rFonts w:asciiTheme="majorHAnsi" w:hAnsiTheme="majorHAnsi" w:cs="Segoe UI"/>
            <w:i/>
            <w:color w:val="0066DD"/>
            <w:sz w:val="19"/>
            <w:szCs w:val="19"/>
            <w:u w:val="none"/>
            <w:lang w:val="en-US"/>
          </w:rPr>
          <w:t>Planning for Persistent Chat Server in Lync Server 2013</w:t>
        </w:r>
      </w:hyperlink>
      <w:r w:rsidRPr="009E22AA">
        <w:rPr>
          <w:rStyle w:val="apple-converted-space"/>
          <w:rFonts w:asciiTheme="majorHAnsi" w:hAnsiTheme="majorHAnsi" w:cs="Segoe UI"/>
          <w:i/>
          <w:color w:val="2A2A2A"/>
          <w:sz w:val="19"/>
          <w:szCs w:val="19"/>
          <w:lang w:val="en-US"/>
        </w:rPr>
        <w:t> </w:t>
      </w:r>
      <w:r w:rsidRPr="009E22AA">
        <w:rPr>
          <w:rFonts w:asciiTheme="majorHAnsi" w:hAnsiTheme="majorHAnsi" w:cs="Segoe UI"/>
          <w:i/>
          <w:color w:val="2A2A2A"/>
          <w:sz w:val="19"/>
          <w:szCs w:val="19"/>
          <w:lang w:val="en-US"/>
        </w:rPr>
        <w:t>in the Planning documentation.</w:t>
      </w:r>
    </w:p>
    <w:p w:rsidR="00D20A93" w:rsidRPr="00D20A93" w:rsidRDefault="009E22AA">
      <w:pPr>
        <w:rPr>
          <w:lang w:val="en-US"/>
        </w:rPr>
      </w:pPr>
      <w:r>
        <w:rPr>
          <w:lang w:val="en-US"/>
        </w:rPr>
        <w:t>1 x Office Web Apps server</w:t>
      </w:r>
    </w:p>
    <w:p w:rsidR="00D20A93" w:rsidRPr="009E22AA" w:rsidRDefault="009E22AA">
      <w:pPr>
        <w:rPr>
          <w:rFonts w:asciiTheme="majorHAnsi" w:hAnsiTheme="majorHAnsi"/>
          <w:i/>
          <w:lang w:val="en-US"/>
        </w:rPr>
      </w:pPr>
      <w:r w:rsidRPr="009E22AA">
        <w:rPr>
          <w:rFonts w:asciiTheme="majorHAnsi" w:hAnsiTheme="majorHAnsi" w:cs="Segoe UI"/>
          <w:i/>
          <w:color w:val="2A2A2A"/>
          <w:sz w:val="19"/>
          <w:szCs w:val="19"/>
          <w:lang w:val="en-US"/>
        </w:rPr>
        <w:t>which is used with Office Web Applications in Lync Server 2013 to handle the sharing and rendering of Microsoft PowerPoint presentations.</w:t>
      </w:r>
    </w:p>
    <w:p w:rsidR="006A30FE" w:rsidRPr="00AF1529" w:rsidRDefault="006A30FE" w:rsidP="006A30FE">
      <w:pPr>
        <w:pStyle w:val="a9"/>
        <w:rPr>
          <w:b/>
          <w:color w:val="019BFF"/>
          <w:sz w:val="34"/>
          <w:lang w:val="en-US"/>
        </w:rPr>
      </w:pPr>
      <w:r w:rsidRPr="00AF1529">
        <w:rPr>
          <w:b/>
          <w:color w:val="019BFF"/>
          <w:sz w:val="34"/>
          <w:lang w:val="en-US"/>
        </w:rPr>
        <w:lastRenderedPageBreak/>
        <w:t>DNS records</w:t>
      </w:r>
    </w:p>
    <w:p w:rsidR="00986A3A" w:rsidRPr="00973E38" w:rsidRDefault="00D22656">
      <w:pPr>
        <w:rPr>
          <w:lang w:val="en-US"/>
        </w:rPr>
      </w:pPr>
      <w:r w:rsidRPr="00973E38">
        <w:rPr>
          <w:lang w:val="en-US"/>
        </w:rPr>
        <w:t xml:space="preserve">In below example </w:t>
      </w:r>
      <w:r w:rsidRPr="00973E38">
        <w:rPr>
          <w:b/>
          <w:lang w:val="en-US"/>
        </w:rPr>
        <w:t>hosting.net</w:t>
      </w:r>
      <w:r w:rsidRPr="00973E38">
        <w:rPr>
          <w:lang w:val="en-US"/>
        </w:rPr>
        <w:t xml:space="preserve"> is the internal domain and </w:t>
      </w:r>
      <w:r w:rsidRPr="00973E38">
        <w:rPr>
          <w:b/>
          <w:lang w:val="en-US"/>
        </w:rPr>
        <w:t>hosting.com</w:t>
      </w:r>
      <w:r w:rsidRPr="00973E38">
        <w:rPr>
          <w:lang w:val="en-US"/>
        </w:rPr>
        <w:t xml:space="preserve"> is the external. </w:t>
      </w:r>
    </w:p>
    <w:p w:rsidR="00D22656" w:rsidRPr="00973E38" w:rsidRDefault="00986A3A">
      <w:pPr>
        <w:rPr>
          <w:lang w:val="en-US"/>
        </w:rPr>
      </w:pPr>
      <w:r w:rsidRPr="00973E38">
        <w:rPr>
          <w:b/>
          <w:lang w:val="en-US"/>
        </w:rPr>
        <w:t>Important:</w:t>
      </w:r>
      <w:r w:rsidRPr="00973E38">
        <w:rPr>
          <w:lang w:val="en-US"/>
        </w:rPr>
        <w:t xml:space="preserve"> </w:t>
      </w:r>
      <w:r w:rsidR="00BF0C42" w:rsidRPr="00973E38">
        <w:rPr>
          <w:lang w:val="en-US"/>
        </w:rPr>
        <w:t>We assume you will not try to connect internal clients and a</w:t>
      </w:r>
      <w:r w:rsidRPr="00973E38">
        <w:rPr>
          <w:lang w:val="en-US"/>
        </w:rPr>
        <w:t>ll connections will be external (through Edge and IIS ARR)</w:t>
      </w:r>
      <w:r w:rsidR="007237CA" w:rsidRPr="00973E38">
        <w:rPr>
          <w:lang w:val="en-US"/>
        </w:rPr>
        <w:t>.</w:t>
      </w:r>
    </w:p>
    <w:p w:rsidR="00D20A93" w:rsidRPr="00AF1529" w:rsidRDefault="00FA3C82" w:rsidP="0053341B">
      <w:pPr>
        <w:pStyle w:val="a9"/>
        <w:rPr>
          <w:b/>
          <w:color w:val="019BFF"/>
          <w:lang w:val="en-US"/>
        </w:rPr>
      </w:pPr>
      <w:r w:rsidRPr="00AF1529">
        <w:rPr>
          <w:b/>
          <w:color w:val="019BFF"/>
          <w:lang w:val="en-US"/>
        </w:rPr>
        <w:t xml:space="preserve">Internal </w:t>
      </w:r>
      <w:r w:rsidR="00A64039" w:rsidRPr="00AF1529">
        <w:rPr>
          <w:b/>
          <w:color w:val="019BFF"/>
          <w:lang w:val="en-US"/>
        </w:rPr>
        <w:t>DNS A records</w:t>
      </w:r>
    </w:p>
    <w:tbl>
      <w:tblPr>
        <w:tblStyle w:val="-22"/>
        <w:tblW w:w="0" w:type="auto"/>
        <w:tblLook w:val="04A0" w:firstRow="1" w:lastRow="0" w:firstColumn="1" w:lastColumn="0" w:noHBand="0" w:noVBand="1"/>
      </w:tblPr>
      <w:tblGrid>
        <w:gridCol w:w="2529"/>
        <w:gridCol w:w="3824"/>
        <w:gridCol w:w="3002"/>
      </w:tblGrid>
      <w:tr w:rsidR="0099423A" w:rsidRPr="00AF1529" w:rsidTr="00533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99423A" w:rsidRPr="00F40FED" w:rsidRDefault="0099423A">
            <w:pPr>
              <w:rPr>
                <w:sz w:val="20"/>
                <w:szCs w:val="20"/>
                <w:lang w:val="en-US"/>
              </w:rPr>
            </w:pPr>
            <w:r w:rsidRPr="00F40FED">
              <w:rPr>
                <w:sz w:val="20"/>
                <w:szCs w:val="20"/>
                <w:lang w:val="en-US"/>
              </w:rPr>
              <w:t>FQDN Example</w:t>
            </w:r>
          </w:p>
        </w:tc>
        <w:tc>
          <w:tcPr>
            <w:tcW w:w="3942" w:type="dxa"/>
          </w:tcPr>
          <w:p w:rsidR="0099423A" w:rsidRPr="00F40FED" w:rsidRDefault="0099423A" w:rsidP="00D22656">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Maps to</w:t>
            </w:r>
          </w:p>
        </w:tc>
        <w:tc>
          <w:tcPr>
            <w:tcW w:w="3096" w:type="dxa"/>
          </w:tcPr>
          <w:p w:rsidR="0099423A" w:rsidRPr="00F40FED" w:rsidRDefault="0099423A">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Your FQDN (</w:t>
            </w:r>
            <w:r w:rsidRPr="00F40FED">
              <w:rPr>
                <w:color w:val="9E5E9B" w:themeColor="accent6"/>
                <w:sz w:val="20"/>
                <w:szCs w:val="20"/>
                <w:lang w:val="en-US"/>
              </w:rPr>
              <w:t>fill this column</w:t>
            </w:r>
            <w:r w:rsidRPr="00F40FED">
              <w:rPr>
                <w:sz w:val="20"/>
                <w:szCs w:val="20"/>
                <w:lang w:val="en-US"/>
              </w:rPr>
              <w:t>)</w:t>
            </w:r>
          </w:p>
        </w:tc>
      </w:tr>
      <w:tr w:rsidR="0099423A" w:rsidRPr="00AF1529" w:rsidTr="00533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99423A" w:rsidRPr="00F40FED" w:rsidRDefault="0099423A">
            <w:pPr>
              <w:rPr>
                <w:sz w:val="20"/>
                <w:szCs w:val="20"/>
                <w:lang w:val="en-US"/>
              </w:rPr>
            </w:pPr>
            <w:r w:rsidRPr="00F40FED">
              <w:rPr>
                <w:sz w:val="20"/>
                <w:szCs w:val="20"/>
                <w:lang w:val="en-US"/>
              </w:rPr>
              <w:t>LyncPool01.hosting.net</w:t>
            </w:r>
          </w:p>
        </w:tc>
        <w:tc>
          <w:tcPr>
            <w:tcW w:w="3942" w:type="dxa"/>
          </w:tcPr>
          <w:p w:rsidR="0099423A" w:rsidRPr="00F40FED" w:rsidRDefault="0099423A">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Pool01 (DNS load balancing). Requires a DNS A record for the IP address of each Front End Server within the pool, mapping to the pool FQDN.</w:t>
            </w:r>
          </w:p>
        </w:tc>
        <w:tc>
          <w:tcPr>
            <w:tcW w:w="3096" w:type="dxa"/>
          </w:tcPr>
          <w:p w:rsidR="0099423A" w:rsidRPr="00F40FED" w:rsidRDefault="0099423A">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9423A" w:rsidRPr="00F40FED" w:rsidTr="0053341B">
        <w:tc>
          <w:tcPr>
            <w:cnfStyle w:val="001000000000" w:firstRow="0" w:lastRow="0" w:firstColumn="1" w:lastColumn="0" w:oddVBand="0" w:evenVBand="0" w:oddHBand="0" w:evenHBand="0" w:firstRowFirstColumn="0" w:firstRowLastColumn="0" w:lastRowFirstColumn="0" w:lastRowLastColumn="0"/>
            <w:tcW w:w="2307" w:type="dxa"/>
          </w:tcPr>
          <w:p w:rsidR="0099423A" w:rsidRPr="00F40FED" w:rsidRDefault="0099423A">
            <w:pPr>
              <w:rPr>
                <w:sz w:val="20"/>
                <w:szCs w:val="20"/>
                <w:lang w:val="en-US"/>
              </w:rPr>
            </w:pPr>
            <w:r w:rsidRPr="00F40FED">
              <w:rPr>
                <w:sz w:val="20"/>
                <w:szCs w:val="20"/>
                <w:lang w:val="en-US"/>
              </w:rPr>
              <w:t>Lyncfe01.hosting.net</w:t>
            </w:r>
          </w:p>
          <w:p w:rsidR="0099423A" w:rsidRPr="00F40FED" w:rsidRDefault="0099423A">
            <w:pPr>
              <w:rPr>
                <w:sz w:val="20"/>
                <w:szCs w:val="20"/>
                <w:lang w:val="en-US"/>
              </w:rPr>
            </w:pPr>
            <w:r w:rsidRPr="00F40FED">
              <w:rPr>
                <w:sz w:val="20"/>
                <w:szCs w:val="20"/>
                <w:lang w:val="en-US"/>
              </w:rPr>
              <w:t>Lyncfe02.hosting.net</w:t>
            </w:r>
          </w:p>
          <w:p w:rsidR="0099423A" w:rsidRPr="00F40FED" w:rsidRDefault="0099423A">
            <w:pPr>
              <w:rPr>
                <w:sz w:val="20"/>
                <w:szCs w:val="20"/>
                <w:lang w:val="en-US"/>
              </w:rPr>
            </w:pPr>
            <w:r w:rsidRPr="00F40FED">
              <w:rPr>
                <w:sz w:val="20"/>
                <w:szCs w:val="20"/>
                <w:lang w:val="en-US"/>
              </w:rPr>
              <w:t>Lyncfe03.hosting.net</w:t>
            </w:r>
          </w:p>
          <w:p w:rsidR="0099423A" w:rsidRPr="00F40FED" w:rsidRDefault="0099423A">
            <w:pPr>
              <w:rPr>
                <w:sz w:val="20"/>
                <w:szCs w:val="20"/>
                <w:lang w:val="en-US"/>
              </w:rPr>
            </w:pPr>
            <w:r w:rsidRPr="00F40FED">
              <w:rPr>
                <w:sz w:val="20"/>
                <w:szCs w:val="20"/>
                <w:lang w:val="en-US"/>
              </w:rPr>
              <w:t xml:space="preserve">… </w:t>
            </w:r>
          </w:p>
        </w:tc>
        <w:tc>
          <w:tcPr>
            <w:tcW w:w="3942" w:type="dxa"/>
          </w:tcPr>
          <w:p w:rsidR="0099423A" w:rsidRPr="00F40FED" w:rsidRDefault="0099423A" w:rsidP="0099423A">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Front End Server (NODE 1).</w:t>
            </w:r>
          </w:p>
          <w:p w:rsidR="0099423A" w:rsidRPr="00F40FED" w:rsidRDefault="0099423A" w:rsidP="0099423A">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Front End Server (NODE 2).</w:t>
            </w:r>
          </w:p>
          <w:p w:rsidR="0099423A" w:rsidRPr="00F40FED" w:rsidRDefault="0099423A" w:rsidP="0099423A">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Front End Server (NODE 3).</w:t>
            </w:r>
          </w:p>
          <w:p w:rsidR="0099423A" w:rsidRPr="00F40FED" w:rsidRDefault="0099423A" w:rsidP="0099423A">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 xml:space="preserve">… </w:t>
            </w:r>
          </w:p>
        </w:tc>
        <w:tc>
          <w:tcPr>
            <w:tcW w:w="3096" w:type="dxa"/>
          </w:tcPr>
          <w:p w:rsidR="0099423A" w:rsidRPr="00F40FED" w:rsidRDefault="0099423A">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973E38" w:rsidRPr="00AF1529" w:rsidTr="00533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973E38" w:rsidRPr="00F40FED" w:rsidRDefault="00973E38">
            <w:pPr>
              <w:rPr>
                <w:sz w:val="20"/>
                <w:szCs w:val="20"/>
                <w:lang w:val="en-US"/>
              </w:rPr>
            </w:pPr>
            <w:r w:rsidRPr="00F40FED">
              <w:rPr>
                <w:sz w:val="20"/>
                <w:szCs w:val="20"/>
                <w:lang w:val="en-US"/>
              </w:rPr>
              <w:t>EdgePool01.hosting.net</w:t>
            </w:r>
          </w:p>
        </w:tc>
        <w:tc>
          <w:tcPr>
            <w:tcW w:w="3942" w:type="dxa"/>
          </w:tcPr>
          <w:p w:rsidR="00973E38" w:rsidRPr="00F40FED" w:rsidRDefault="00973E38" w:rsidP="00973E38">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Edge Pool01 (DNS load balancing). Requires a DNS A record for the IP address of each Edge Server within the pool, mapping to the pool FQDN.</w:t>
            </w:r>
          </w:p>
        </w:tc>
        <w:tc>
          <w:tcPr>
            <w:tcW w:w="3096" w:type="dxa"/>
          </w:tcPr>
          <w:p w:rsidR="00973E38" w:rsidRPr="00F40FED" w:rsidRDefault="00973E38">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73E38" w:rsidRPr="00F40FED" w:rsidTr="0053341B">
        <w:tc>
          <w:tcPr>
            <w:cnfStyle w:val="001000000000" w:firstRow="0" w:lastRow="0" w:firstColumn="1" w:lastColumn="0" w:oddVBand="0" w:evenVBand="0" w:oddHBand="0" w:evenHBand="0" w:firstRowFirstColumn="0" w:firstRowLastColumn="0" w:lastRowFirstColumn="0" w:lastRowLastColumn="0"/>
            <w:tcW w:w="2307" w:type="dxa"/>
          </w:tcPr>
          <w:p w:rsidR="00973E38" w:rsidRPr="00F40FED" w:rsidRDefault="00973E38" w:rsidP="00973E38">
            <w:pPr>
              <w:rPr>
                <w:sz w:val="20"/>
                <w:szCs w:val="20"/>
                <w:lang w:val="en-US"/>
              </w:rPr>
            </w:pPr>
            <w:r w:rsidRPr="00F40FED">
              <w:rPr>
                <w:sz w:val="20"/>
                <w:szCs w:val="20"/>
                <w:lang w:val="en-US"/>
              </w:rPr>
              <w:t>Lyncedge01.hosting.net</w:t>
            </w:r>
            <w:r w:rsidRPr="00F40FED">
              <w:rPr>
                <w:sz w:val="20"/>
                <w:szCs w:val="20"/>
                <w:lang w:val="en-US"/>
              </w:rPr>
              <w:br/>
              <w:t>Lyncedge02.hosting.net</w:t>
            </w:r>
            <w:r w:rsidRPr="00F40FED">
              <w:rPr>
                <w:sz w:val="20"/>
                <w:szCs w:val="20"/>
                <w:lang w:val="en-US"/>
              </w:rPr>
              <w:br/>
              <w:t>Lyncedge03.hosting.net</w:t>
            </w:r>
            <w:r w:rsidRPr="00F40FED">
              <w:rPr>
                <w:sz w:val="20"/>
                <w:szCs w:val="20"/>
                <w:lang w:val="en-US"/>
              </w:rPr>
              <w:br/>
              <w:t>…</w:t>
            </w:r>
          </w:p>
        </w:tc>
        <w:tc>
          <w:tcPr>
            <w:tcW w:w="3942" w:type="dxa"/>
          </w:tcPr>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Edge Server (NODE 1).</w:t>
            </w:r>
          </w:p>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Edge Server (NODE 2).</w:t>
            </w:r>
          </w:p>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Pool01 Edge Server (NODE 3).</w:t>
            </w:r>
          </w:p>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w:t>
            </w:r>
          </w:p>
        </w:tc>
        <w:tc>
          <w:tcPr>
            <w:tcW w:w="3096" w:type="dxa"/>
          </w:tcPr>
          <w:p w:rsidR="00973E38" w:rsidRPr="00F40FED" w:rsidRDefault="00973E38">
            <w:pP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FA3C82" w:rsidRPr="00AF1529" w:rsidRDefault="00A64039" w:rsidP="0053341B">
      <w:pPr>
        <w:pStyle w:val="a9"/>
        <w:rPr>
          <w:b/>
          <w:color w:val="019BFF"/>
          <w:lang w:val="en-US"/>
        </w:rPr>
      </w:pPr>
      <w:r w:rsidRPr="00AF1529">
        <w:rPr>
          <w:b/>
          <w:color w:val="019BFF"/>
          <w:lang w:val="en-US"/>
        </w:rPr>
        <w:t>External DNS A Records</w:t>
      </w:r>
    </w:p>
    <w:tbl>
      <w:tblPr>
        <w:tblStyle w:val="-22"/>
        <w:tblW w:w="0" w:type="auto"/>
        <w:tblLook w:val="04A0" w:firstRow="1" w:lastRow="0" w:firstColumn="1" w:lastColumn="0" w:noHBand="0" w:noVBand="1"/>
      </w:tblPr>
      <w:tblGrid>
        <w:gridCol w:w="2708"/>
        <w:gridCol w:w="2952"/>
        <w:gridCol w:w="3695"/>
      </w:tblGrid>
      <w:tr w:rsidR="00AA768D" w:rsidRPr="00AF1529" w:rsidTr="00F40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A64039" w:rsidRPr="00F40FED" w:rsidRDefault="00A64039" w:rsidP="00DD1DF8">
            <w:pPr>
              <w:rPr>
                <w:sz w:val="20"/>
                <w:szCs w:val="20"/>
                <w:lang w:val="en-US"/>
              </w:rPr>
            </w:pPr>
            <w:r w:rsidRPr="00F40FED">
              <w:rPr>
                <w:sz w:val="20"/>
                <w:szCs w:val="20"/>
                <w:lang w:val="en-US"/>
              </w:rPr>
              <w:t>FQDN Example</w:t>
            </w:r>
          </w:p>
        </w:tc>
        <w:tc>
          <w:tcPr>
            <w:tcW w:w="2952" w:type="dxa"/>
          </w:tcPr>
          <w:p w:rsidR="00A64039" w:rsidRPr="00F40FED" w:rsidRDefault="00A64039" w:rsidP="00D22656">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Maps to</w:t>
            </w:r>
          </w:p>
        </w:tc>
        <w:tc>
          <w:tcPr>
            <w:tcW w:w="3695" w:type="dxa"/>
          </w:tcPr>
          <w:p w:rsidR="00A64039" w:rsidRPr="00F40FED" w:rsidRDefault="00A64039" w:rsidP="00DD1DF8">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Your FQDN (</w:t>
            </w:r>
            <w:r w:rsidRPr="00F40FED">
              <w:rPr>
                <w:color w:val="9E5E9B" w:themeColor="accent6"/>
                <w:sz w:val="20"/>
                <w:szCs w:val="20"/>
                <w:lang w:val="en-US"/>
              </w:rPr>
              <w:t>fill this column</w:t>
            </w:r>
            <w:r w:rsidRPr="00F40FED">
              <w:rPr>
                <w:sz w:val="20"/>
                <w:szCs w:val="20"/>
                <w:lang w:val="en-US"/>
              </w:rPr>
              <w:t>)</w:t>
            </w:r>
          </w:p>
        </w:tc>
      </w:tr>
      <w:tr w:rsidR="00D22656" w:rsidRPr="00F40FED" w:rsidTr="00F4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D22656" w:rsidRPr="00F40FED" w:rsidRDefault="00973E38" w:rsidP="00D22656">
            <w:pPr>
              <w:spacing w:line="315" w:lineRule="atLeast"/>
              <w:rPr>
                <w:sz w:val="20"/>
                <w:szCs w:val="20"/>
                <w:lang w:val="en-US"/>
              </w:rPr>
            </w:pPr>
            <w:r w:rsidRPr="00F40FED">
              <w:rPr>
                <w:sz w:val="20"/>
                <w:szCs w:val="20"/>
                <w:lang w:val="en-US"/>
              </w:rPr>
              <w:t>sip.hosting.com</w:t>
            </w:r>
          </w:p>
        </w:tc>
        <w:tc>
          <w:tcPr>
            <w:tcW w:w="2952" w:type="dxa"/>
          </w:tcPr>
          <w:p w:rsidR="00D22656" w:rsidRPr="00F40FED" w:rsidRDefault="00D22656" w:rsidP="00D22656">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Edge Server</w:t>
            </w:r>
          </w:p>
        </w:tc>
        <w:tc>
          <w:tcPr>
            <w:tcW w:w="3695" w:type="dxa"/>
          </w:tcPr>
          <w:p w:rsidR="00D22656" w:rsidRPr="00F40FED" w:rsidRDefault="00D22656" w:rsidP="00D2265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A768D" w:rsidRPr="00F40FED" w:rsidTr="00F40FED">
        <w:tc>
          <w:tcPr>
            <w:cnfStyle w:val="001000000000" w:firstRow="0" w:lastRow="0" w:firstColumn="1" w:lastColumn="0" w:oddVBand="0" w:evenVBand="0" w:oddHBand="0" w:evenHBand="0" w:firstRowFirstColumn="0" w:firstRowLastColumn="0" w:lastRowFirstColumn="0" w:lastRowLastColumn="0"/>
            <w:tcW w:w="2708" w:type="dxa"/>
          </w:tcPr>
          <w:p w:rsidR="00D22656" w:rsidRPr="00F40FED" w:rsidRDefault="00973E38" w:rsidP="00D22656">
            <w:pPr>
              <w:spacing w:line="315" w:lineRule="atLeast"/>
              <w:rPr>
                <w:sz w:val="20"/>
                <w:szCs w:val="20"/>
                <w:lang w:val="en-US"/>
              </w:rPr>
            </w:pPr>
            <w:r w:rsidRPr="00F40FED">
              <w:rPr>
                <w:sz w:val="20"/>
                <w:szCs w:val="20"/>
                <w:lang w:val="en-US"/>
              </w:rPr>
              <w:t>webcon.hosting.com</w:t>
            </w:r>
          </w:p>
        </w:tc>
        <w:tc>
          <w:tcPr>
            <w:tcW w:w="2952" w:type="dxa"/>
          </w:tcPr>
          <w:p w:rsidR="00D22656" w:rsidRPr="00F40FED" w:rsidRDefault="00D22656" w:rsidP="00D22656">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Edge Server</w:t>
            </w:r>
          </w:p>
        </w:tc>
        <w:tc>
          <w:tcPr>
            <w:tcW w:w="3695" w:type="dxa"/>
          </w:tcPr>
          <w:p w:rsidR="00D22656" w:rsidRPr="00F40FED" w:rsidRDefault="00D22656" w:rsidP="00D2265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A768D" w:rsidRPr="00F40FED" w:rsidTr="00F4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D22656" w:rsidRPr="00F40FED" w:rsidRDefault="00973E38" w:rsidP="00D22656">
            <w:pPr>
              <w:spacing w:line="315" w:lineRule="atLeast"/>
              <w:rPr>
                <w:sz w:val="20"/>
                <w:szCs w:val="20"/>
                <w:lang w:val="en-US"/>
              </w:rPr>
            </w:pPr>
            <w:r w:rsidRPr="00F40FED">
              <w:rPr>
                <w:sz w:val="20"/>
                <w:szCs w:val="20"/>
                <w:lang w:val="en-US"/>
              </w:rPr>
              <w:t>av.hosting.com</w:t>
            </w:r>
          </w:p>
        </w:tc>
        <w:tc>
          <w:tcPr>
            <w:tcW w:w="2952" w:type="dxa"/>
          </w:tcPr>
          <w:p w:rsidR="00D22656" w:rsidRPr="00F40FED" w:rsidRDefault="00D22656" w:rsidP="00D22656">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Edge Server</w:t>
            </w:r>
          </w:p>
        </w:tc>
        <w:tc>
          <w:tcPr>
            <w:tcW w:w="3695" w:type="dxa"/>
          </w:tcPr>
          <w:p w:rsidR="00D22656" w:rsidRPr="00F40FED" w:rsidRDefault="00D22656" w:rsidP="00D2265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73E38" w:rsidRPr="00F40FED" w:rsidTr="00F40FED">
        <w:tc>
          <w:tcPr>
            <w:cnfStyle w:val="001000000000" w:firstRow="0" w:lastRow="0" w:firstColumn="1" w:lastColumn="0" w:oddVBand="0" w:evenVBand="0" w:oddHBand="0" w:evenHBand="0" w:firstRowFirstColumn="0" w:firstRowLastColumn="0" w:lastRowFirstColumn="0" w:lastRowLastColumn="0"/>
            <w:tcW w:w="2708" w:type="dxa"/>
          </w:tcPr>
          <w:p w:rsidR="00973E38" w:rsidRPr="00F40FED" w:rsidRDefault="00973E38" w:rsidP="00973E38">
            <w:pPr>
              <w:spacing w:line="315" w:lineRule="atLeast"/>
              <w:rPr>
                <w:sz w:val="20"/>
                <w:szCs w:val="20"/>
                <w:lang w:val="en-US"/>
              </w:rPr>
            </w:pPr>
            <w:r w:rsidRPr="00F40FED">
              <w:rPr>
                <w:sz w:val="20"/>
                <w:szCs w:val="20"/>
                <w:lang w:val="en-US"/>
              </w:rPr>
              <w:t>meet.hosting.com</w:t>
            </w:r>
          </w:p>
        </w:tc>
        <w:tc>
          <w:tcPr>
            <w:tcW w:w="2952" w:type="dxa"/>
          </w:tcPr>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Reverse Proxy server</w:t>
            </w:r>
          </w:p>
        </w:tc>
        <w:tc>
          <w:tcPr>
            <w:tcW w:w="3695" w:type="dxa"/>
          </w:tcPr>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973E38" w:rsidRPr="00F40FED" w:rsidTr="00F4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973E38" w:rsidRPr="00F40FED" w:rsidRDefault="00973E38" w:rsidP="00973E38">
            <w:pPr>
              <w:spacing w:line="315" w:lineRule="atLeast"/>
              <w:rPr>
                <w:sz w:val="20"/>
                <w:szCs w:val="20"/>
                <w:lang w:val="en-US"/>
              </w:rPr>
            </w:pPr>
            <w:r w:rsidRPr="00F40FED">
              <w:rPr>
                <w:sz w:val="20"/>
                <w:szCs w:val="20"/>
                <w:lang w:val="en-US"/>
              </w:rPr>
              <w:t>dialin.hosting.com</w:t>
            </w:r>
          </w:p>
        </w:tc>
        <w:tc>
          <w:tcPr>
            <w:tcW w:w="2952" w:type="dxa"/>
          </w:tcPr>
          <w:p w:rsidR="00973E38" w:rsidRPr="00F40FED" w:rsidRDefault="00973E38" w:rsidP="00973E38">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Reverse Proxy server</w:t>
            </w:r>
          </w:p>
        </w:tc>
        <w:tc>
          <w:tcPr>
            <w:tcW w:w="3695" w:type="dxa"/>
          </w:tcPr>
          <w:p w:rsidR="00973E38" w:rsidRPr="00F40FED" w:rsidRDefault="00973E38" w:rsidP="00973E38">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73E38" w:rsidRPr="00F40FED" w:rsidTr="00F40FED">
        <w:tc>
          <w:tcPr>
            <w:cnfStyle w:val="001000000000" w:firstRow="0" w:lastRow="0" w:firstColumn="1" w:lastColumn="0" w:oddVBand="0" w:evenVBand="0" w:oddHBand="0" w:evenHBand="0" w:firstRowFirstColumn="0" w:firstRowLastColumn="0" w:lastRowFirstColumn="0" w:lastRowLastColumn="0"/>
            <w:tcW w:w="2708" w:type="dxa"/>
          </w:tcPr>
          <w:p w:rsidR="00973E38" w:rsidRPr="00F40FED" w:rsidRDefault="00973E38" w:rsidP="00973E38">
            <w:pPr>
              <w:spacing w:line="315" w:lineRule="atLeast"/>
              <w:rPr>
                <w:sz w:val="20"/>
                <w:szCs w:val="20"/>
                <w:lang w:val="en-US"/>
              </w:rPr>
            </w:pPr>
            <w:r w:rsidRPr="00F40FED">
              <w:rPr>
                <w:sz w:val="20"/>
                <w:szCs w:val="20"/>
                <w:lang w:val="en-US"/>
              </w:rPr>
              <w:t>lync.hosting.com</w:t>
            </w:r>
          </w:p>
        </w:tc>
        <w:tc>
          <w:tcPr>
            <w:tcW w:w="2952" w:type="dxa"/>
          </w:tcPr>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Reverse Proxy server</w:t>
            </w:r>
          </w:p>
        </w:tc>
        <w:tc>
          <w:tcPr>
            <w:tcW w:w="3695" w:type="dxa"/>
          </w:tcPr>
          <w:p w:rsidR="00973E38" w:rsidRPr="00F40FED" w:rsidRDefault="00973E38"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973E38" w:rsidRPr="00F40FED" w:rsidTr="00F4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973E38" w:rsidRPr="00F40FED" w:rsidRDefault="00973E38" w:rsidP="00973E38">
            <w:pPr>
              <w:spacing w:line="315" w:lineRule="atLeast"/>
              <w:rPr>
                <w:sz w:val="20"/>
                <w:szCs w:val="20"/>
                <w:lang w:val="en-US"/>
              </w:rPr>
            </w:pPr>
            <w:r w:rsidRPr="00F40FED">
              <w:rPr>
                <w:sz w:val="20"/>
                <w:szCs w:val="20"/>
                <w:lang w:val="en-US"/>
              </w:rPr>
              <w:t>lyncdiscover.hosting.com</w:t>
            </w:r>
          </w:p>
        </w:tc>
        <w:tc>
          <w:tcPr>
            <w:tcW w:w="2952" w:type="dxa"/>
          </w:tcPr>
          <w:p w:rsidR="00973E38" w:rsidRPr="00F40FED" w:rsidRDefault="00973E38" w:rsidP="00973E38">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Reverse Proxy server</w:t>
            </w:r>
          </w:p>
        </w:tc>
        <w:tc>
          <w:tcPr>
            <w:tcW w:w="3695" w:type="dxa"/>
          </w:tcPr>
          <w:p w:rsidR="00973E38" w:rsidRPr="00F40FED" w:rsidRDefault="00973E38" w:rsidP="00973E38">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F1529" w:rsidRPr="00F40FED" w:rsidTr="00F40FED">
        <w:tc>
          <w:tcPr>
            <w:cnfStyle w:val="001000000000" w:firstRow="0" w:lastRow="0" w:firstColumn="1" w:lastColumn="0" w:oddVBand="0" w:evenVBand="0" w:oddHBand="0" w:evenHBand="0" w:firstRowFirstColumn="0" w:firstRowLastColumn="0" w:lastRowFirstColumn="0" w:lastRowLastColumn="0"/>
            <w:tcW w:w="2708" w:type="dxa"/>
          </w:tcPr>
          <w:p w:rsidR="00AF1529" w:rsidRPr="00F40FED" w:rsidRDefault="00AF1529" w:rsidP="00973E38">
            <w:pPr>
              <w:spacing w:line="315" w:lineRule="atLeast"/>
              <w:rPr>
                <w:sz w:val="20"/>
                <w:szCs w:val="20"/>
                <w:lang w:val="en-US"/>
              </w:rPr>
            </w:pPr>
          </w:p>
        </w:tc>
        <w:tc>
          <w:tcPr>
            <w:tcW w:w="2952" w:type="dxa"/>
          </w:tcPr>
          <w:p w:rsidR="00AF1529" w:rsidRPr="00F40FED" w:rsidRDefault="00AF1529"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695" w:type="dxa"/>
          </w:tcPr>
          <w:p w:rsidR="00AF1529" w:rsidRPr="00F40FED" w:rsidRDefault="00AF1529" w:rsidP="00973E38">
            <w:pP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6C6823" w:rsidRPr="00AF1529" w:rsidRDefault="006C6823" w:rsidP="0053341B">
      <w:pPr>
        <w:pStyle w:val="a9"/>
        <w:rPr>
          <w:b/>
          <w:color w:val="019BFF"/>
          <w:lang w:val="en-US"/>
        </w:rPr>
      </w:pPr>
      <w:r w:rsidRPr="00AF1529">
        <w:rPr>
          <w:b/>
          <w:color w:val="019BFF"/>
          <w:lang w:val="en-US"/>
        </w:rPr>
        <w:lastRenderedPageBreak/>
        <w:t>DNS CNAME records</w:t>
      </w:r>
      <w:r w:rsidR="00710BB8" w:rsidRPr="00AF1529">
        <w:rPr>
          <w:b/>
          <w:color w:val="019BFF"/>
          <w:lang w:val="en-US"/>
        </w:rPr>
        <w:t xml:space="preserve"> </w:t>
      </w:r>
      <w:r w:rsidR="00710BB8" w:rsidRPr="00AF1529">
        <w:rPr>
          <w:color w:val="019BFF"/>
          <w:lang w:val="en-US"/>
        </w:rPr>
        <w:t>(for each customer’s domain)</w:t>
      </w:r>
    </w:p>
    <w:tbl>
      <w:tblPr>
        <w:tblStyle w:val="-22"/>
        <w:tblW w:w="9356" w:type="dxa"/>
        <w:tblLook w:val="04A0" w:firstRow="1" w:lastRow="0" w:firstColumn="1" w:lastColumn="0" w:noHBand="0" w:noVBand="1"/>
      </w:tblPr>
      <w:tblGrid>
        <w:gridCol w:w="2938"/>
        <w:gridCol w:w="6418"/>
      </w:tblGrid>
      <w:tr w:rsidR="00710BB8" w:rsidRPr="00F40FED" w:rsidTr="006A3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tcPr>
          <w:p w:rsidR="00710BB8" w:rsidRPr="00F40FED" w:rsidRDefault="00710BB8" w:rsidP="00DD1DF8">
            <w:pPr>
              <w:rPr>
                <w:sz w:val="20"/>
                <w:szCs w:val="20"/>
                <w:lang w:val="en-US"/>
              </w:rPr>
            </w:pPr>
            <w:r w:rsidRPr="00F40FED">
              <w:rPr>
                <w:sz w:val="20"/>
                <w:szCs w:val="20"/>
                <w:lang w:val="en-US"/>
              </w:rPr>
              <w:t>FQDN Example</w:t>
            </w:r>
          </w:p>
        </w:tc>
        <w:tc>
          <w:tcPr>
            <w:tcW w:w="6418" w:type="dxa"/>
          </w:tcPr>
          <w:p w:rsidR="00710BB8" w:rsidRPr="00F40FED" w:rsidRDefault="00710BB8" w:rsidP="00DD1DF8">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Maps to</w:t>
            </w:r>
          </w:p>
        </w:tc>
      </w:tr>
      <w:tr w:rsidR="00710BB8" w:rsidRPr="00F40FED" w:rsidTr="006A3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tcPr>
          <w:p w:rsidR="00710BB8" w:rsidRPr="00F40FED" w:rsidRDefault="00710BB8" w:rsidP="00DD1DF8">
            <w:pPr>
              <w:spacing w:line="315" w:lineRule="atLeast"/>
              <w:rPr>
                <w:sz w:val="20"/>
                <w:szCs w:val="20"/>
                <w:lang w:val="en-US"/>
              </w:rPr>
            </w:pPr>
            <w:proofErr w:type="spellStart"/>
            <w:r w:rsidRPr="00F40FED">
              <w:rPr>
                <w:sz w:val="20"/>
                <w:szCs w:val="20"/>
                <w:lang w:val="en-US"/>
              </w:rPr>
              <w:t>Lyncdiscover</w:t>
            </w:r>
            <w:proofErr w:type="spellEnd"/>
            <w:r w:rsidRPr="00F40FED">
              <w:rPr>
                <w:sz w:val="20"/>
                <w:szCs w:val="20"/>
                <w:lang w:val="en-US"/>
              </w:rPr>
              <w:t>.&lt;</w:t>
            </w:r>
            <w:proofErr w:type="spellStart"/>
            <w:r w:rsidRPr="00F40FED">
              <w:rPr>
                <w:sz w:val="20"/>
                <w:szCs w:val="20"/>
                <w:lang w:val="en-US"/>
              </w:rPr>
              <w:t>sipdomain</w:t>
            </w:r>
            <w:proofErr w:type="spellEnd"/>
            <w:r w:rsidRPr="00F40FED">
              <w:rPr>
                <w:sz w:val="20"/>
                <w:szCs w:val="20"/>
                <w:lang w:val="en-US"/>
              </w:rPr>
              <w:t>&gt;</w:t>
            </w:r>
          </w:p>
        </w:tc>
        <w:tc>
          <w:tcPr>
            <w:tcW w:w="6418" w:type="dxa"/>
          </w:tcPr>
          <w:p w:rsidR="00710BB8" w:rsidRPr="00F40FED" w:rsidRDefault="00710BB8" w:rsidP="001502FE">
            <w:pPr>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lync.hosting.com</w:t>
            </w:r>
          </w:p>
        </w:tc>
      </w:tr>
    </w:tbl>
    <w:p w:rsidR="00FA3C82" w:rsidRPr="00AF1529" w:rsidRDefault="00AA768D" w:rsidP="0053341B">
      <w:pPr>
        <w:pStyle w:val="a9"/>
        <w:rPr>
          <w:color w:val="019BFF"/>
          <w:sz w:val="20"/>
          <w:szCs w:val="20"/>
          <w:lang w:val="en-US"/>
        </w:rPr>
      </w:pPr>
      <w:r w:rsidRPr="00AF1529">
        <w:rPr>
          <w:b/>
          <w:color w:val="019BFF"/>
          <w:sz w:val="20"/>
          <w:szCs w:val="20"/>
          <w:lang w:val="en-US"/>
        </w:rPr>
        <w:t>DNS SRV records</w:t>
      </w:r>
      <w:r w:rsidR="007237CA" w:rsidRPr="00AF1529">
        <w:rPr>
          <w:b/>
          <w:color w:val="019BFF"/>
          <w:sz w:val="20"/>
          <w:szCs w:val="20"/>
          <w:lang w:val="en-US"/>
        </w:rPr>
        <w:t xml:space="preserve"> </w:t>
      </w:r>
      <w:r w:rsidR="007237CA" w:rsidRPr="00AF1529">
        <w:rPr>
          <w:color w:val="019BFF"/>
          <w:sz w:val="20"/>
          <w:szCs w:val="20"/>
          <w:lang w:val="en-US"/>
        </w:rPr>
        <w:t>(for your and each customer’s domain)</w:t>
      </w:r>
    </w:p>
    <w:tbl>
      <w:tblPr>
        <w:tblStyle w:val="-22"/>
        <w:tblW w:w="9356" w:type="dxa"/>
        <w:tblLook w:val="04A0" w:firstRow="1" w:lastRow="0" w:firstColumn="1" w:lastColumn="0" w:noHBand="0" w:noVBand="1"/>
      </w:tblPr>
      <w:tblGrid>
        <w:gridCol w:w="3732"/>
        <w:gridCol w:w="5624"/>
      </w:tblGrid>
      <w:tr w:rsidR="00710BB8" w:rsidRPr="00F40FED" w:rsidTr="006A30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tcPr>
          <w:p w:rsidR="00710BB8" w:rsidRPr="00F40FED" w:rsidRDefault="00710BB8" w:rsidP="00DD1DF8">
            <w:pPr>
              <w:rPr>
                <w:sz w:val="20"/>
                <w:szCs w:val="20"/>
                <w:lang w:val="en-US"/>
              </w:rPr>
            </w:pPr>
            <w:r w:rsidRPr="00F40FED">
              <w:rPr>
                <w:sz w:val="20"/>
                <w:szCs w:val="20"/>
                <w:lang w:val="en-US"/>
              </w:rPr>
              <w:t>FQDN Example</w:t>
            </w:r>
          </w:p>
        </w:tc>
        <w:tc>
          <w:tcPr>
            <w:tcW w:w="5624" w:type="dxa"/>
          </w:tcPr>
          <w:p w:rsidR="00710BB8" w:rsidRPr="00F40FED" w:rsidRDefault="00710BB8" w:rsidP="00DD1DF8">
            <w:pPr>
              <w:cnfStyle w:val="100000000000" w:firstRow="1"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Maps to</w:t>
            </w:r>
          </w:p>
        </w:tc>
      </w:tr>
      <w:tr w:rsidR="00710BB8" w:rsidRPr="00F40FED" w:rsidTr="006A3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tcPr>
          <w:p w:rsidR="00710BB8" w:rsidRPr="00F40FED" w:rsidRDefault="00710BB8" w:rsidP="006B3D16">
            <w:pPr>
              <w:spacing w:line="315" w:lineRule="atLeast"/>
              <w:jc w:val="both"/>
              <w:rPr>
                <w:sz w:val="20"/>
                <w:szCs w:val="20"/>
                <w:lang w:val="en-US"/>
              </w:rPr>
            </w:pPr>
            <w:r w:rsidRPr="00F40FED">
              <w:rPr>
                <w:sz w:val="20"/>
                <w:szCs w:val="20"/>
                <w:lang w:val="en-US"/>
              </w:rPr>
              <w:t>_</w:t>
            </w:r>
            <w:proofErr w:type="spellStart"/>
            <w:r w:rsidRPr="00F40FED">
              <w:rPr>
                <w:sz w:val="20"/>
                <w:szCs w:val="20"/>
                <w:lang w:val="en-US"/>
              </w:rPr>
              <w:t>sipfederationtls</w:t>
            </w:r>
            <w:proofErr w:type="spellEnd"/>
            <w:r w:rsidR="006B3D16" w:rsidRPr="00F40FED">
              <w:rPr>
                <w:sz w:val="20"/>
                <w:szCs w:val="20"/>
                <w:lang w:val="en-US"/>
              </w:rPr>
              <w:t>.</w:t>
            </w:r>
            <w:r w:rsidRPr="00F40FED">
              <w:rPr>
                <w:sz w:val="20"/>
                <w:szCs w:val="20"/>
                <w:lang w:val="en-US"/>
              </w:rPr>
              <w:t>_</w:t>
            </w:r>
            <w:proofErr w:type="spellStart"/>
            <w:r w:rsidRPr="00F40FED">
              <w:rPr>
                <w:sz w:val="20"/>
                <w:szCs w:val="20"/>
                <w:lang w:val="en-US"/>
              </w:rPr>
              <w:t>tcp</w:t>
            </w:r>
            <w:proofErr w:type="spellEnd"/>
            <w:r w:rsidRPr="00F40FED">
              <w:rPr>
                <w:sz w:val="20"/>
                <w:szCs w:val="20"/>
                <w:lang w:val="en-US"/>
              </w:rPr>
              <w:t>.&lt;</w:t>
            </w:r>
            <w:proofErr w:type="spellStart"/>
            <w:r w:rsidRPr="00F40FED">
              <w:rPr>
                <w:sz w:val="20"/>
                <w:szCs w:val="20"/>
                <w:lang w:val="en-US"/>
              </w:rPr>
              <w:t>sipdomain</w:t>
            </w:r>
            <w:proofErr w:type="spellEnd"/>
            <w:r w:rsidRPr="00F40FED">
              <w:rPr>
                <w:sz w:val="20"/>
                <w:szCs w:val="20"/>
                <w:lang w:val="en-US"/>
              </w:rPr>
              <w:t>&gt;</w:t>
            </w:r>
          </w:p>
        </w:tc>
        <w:tc>
          <w:tcPr>
            <w:tcW w:w="5624" w:type="dxa"/>
          </w:tcPr>
          <w:p w:rsidR="00710BB8" w:rsidRPr="00F40FED" w:rsidRDefault="00710BB8" w:rsidP="007237C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sip.hosting.com</w:t>
            </w:r>
          </w:p>
          <w:p w:rsidR="00710BB8" w:rsidRPr="00F40FED" w:rsidRDefault="00710BB8" w:rsidP="007237CA">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F40FED">
              <w:rPr>
                <w:sz w:val="20"/>
                <w:szCs w:val="20"/>
                <w:lang w:val="en-US"/>
              </w:rPr>
              <w:t>port 5061</w:t>
            </w:r>
          </w:p>
        </w:tc>
      </w:tr>
      <w:tr w:rsidR="00710BB8" w:rsidRPr="00F40FED" w:rsidTr="006A30FE">
        <w:tc>
          <w:tcPr>
            <w:cnfStyle w:val="001000000000" w:firstRow="0" w:lastRow="0" w:firstColumn="1" w:lastColumn="0" w:oddVBand="0" w:evenVBand="0" w:oddHBand="0" w:evenHBand="0" w:firstRowFirstColumn="0" w:firstRowLastColumn="0" w:lastRowFirstColumn="0" w:lastRowLastColumn="0"/>
            <w:tcW w:w="3732" w:type="dxa"/>
          </w:tcPr>
          <w:p w:rsidR="00710BB8" w:rsidRPr="00F40FED" w:rsidRDefault="00710BB8" w:rsidP="007237CA">
            <w:pPr>
              <w:spacing w:line="315" w:lineRule="atLeast"/>
              <w:jc w:val="both"/>
              <w:rPr>
                <w:sz w:val="20"/>
                <w:szCs w:val="20"/>
                <w:lang w:val="en-US"/>
              </w:rPr>
            </w:pPr>
            <w:r w:rsidRPr="00F40FED">
              <w:rPr>
                <w:sz w:val="20"/>
                <w:szCs w:val="20"/>
                <w:lang w:val="en-US"/>
              </w:rPr>
              <w:t>_sip._</w:t>
            </w:r>
            <w:proofErr w:type="spellStart"/>
            <w:r w:rsidRPr="00F40FED">
              <w:rPr>
                <w:sz w:val="20"/>
                <w:szCs w:val="20"/>
                <w:lang w:val="en-US"/>
              </w:rPr>
              <w:t>tls</w:t>
            </w:r>
            <w:proofErr w:type="spellEnd"/>
            <w:r w:rsidRPr="00F40FED">
              <w:rPr>
                <w:sz w:val="20"/>
                <w:szCs w:val="20"/>
                <w:lang w:val="en-US"/>
              </w:rPr>
              <w:t>.&lt;</w:t>
            </w:r>
            <w:proofErr w:type="spellStart"/>
            <w:r w:rsidRPr="00F40FED">
              <w:rPr>
                <w:sz w:val="20"/>
                <w:szCs w:val="20"/>
                <w:lang w:val="en-US"/>
              </w:rPr>
              <w:t>sipdomain</w:t>
            </w:r>
            <w:proofErr w:type="spellEnd"/>
            <w:r w:rsidRPr="00F40FED">
              <w:rPr>
                <w:sz w:val="20"/>
                <w:szCs w:val="20"/>
                <w:lang w:val="en-US"/>
              </w:rPr>
              <w:t>&gt;</w:t>
            </w:r>
          </w:p>
        </w:tc>
        <w:tc>
          <w:tcPr>
            <w:tcW w:w="5624" w:type="dxa"/>
          </w:tcPr>
          <w:p w:rsidR="00710BB8" w:rsidRPr="00F40FED" w:rsidRDefault="00710BB8" w:rsidP="007237C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sip.hosting.com</w:t>
            </w:r>
          </w:p>
          <w:p w:rsidR="00710BB8" w:rsidRPr="00F40FED" w:rsidRDefault="00710BB8" w:rsidP="007237C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F40FED">
              <w:rPr>
                <w:sz w:val="20"/>
                <w:szCs w:val="20"/>
                <w:lang w:val="en-US"/>
              </w:rPr>
              <w:t>port 443</w:t>
            </w:r>
          </w:p>
        </w:tc>
      </w:tr>
    </w:tbl>
    <w:p w:rsidR="00067061" w:rsidRDefault="00067061" w:rsidP="0053341B">
      <w:pPr>
        <w:pStyle w:val="a9"/>
        <w:rPr>
          <w:b/>
          <w:color w:val="019BFF"/>
          <w:sz w:val="34"/>
          <w:lang w:val="en-US"/>
        </w:rPr>
      </w:pPr>
      <w:r w:rsidRPr="00AF1529">
        <w:rPr>
          <w:b/>
          <w:color w:val="019BFF"/>
          <w:sz w:val="34"/>
          <w:lang w:val="en-US"/>
        </w:rPr>
        <w:t>Ports used by Lync 2013</w:t>
      </w:r>
    </w:p>
    <w:p w:rsidR="00E9538E" w:rsidRPr="00E9538E" w:rsidRDefault="00E9538E" w:rsidP="00E9538E">
      <w:pPr>
        <w:rPr>
          <w:lang w:val="en-US"/>
        </w:rPr>
      </w:pPr>
      <w:bookmarkStart w:id="0" w:name="_GoBack"/>
      <w:bookmarkEnd w:id="0"/>
    </w:p>
    <w:p w:rsidR="006A30FE" w:rsidRDefault="006A30FE" w:rsidP="006A30FE">
      <w:pPr>
        <w:rPr>
          <w:lang w:val="en-US"/>
        </w:rPr>
      </w:pPr>
    </w:p>
    <w:p w:rsidR="006A30FE" w:rsidRDefault="006A30FE" w:rsidP="006A30FE">
      <w:pPr>
        <w:rPr>
          <w:lang w:val="en-US"/>
        </w:rPr>
      </w:pPr>
    </w:p>
    <w:p w:rsidR="006A30FE" w:rsidRPr="006A30FE" w:rsidRDefault="006A30FE" w:rsidP="006A30FE">
      <w:pPr>
        <w:rPr>
          <w:lang w:val="en-US"/>
        </w:rPr>
      </w:pPr>
    </w:p>
    <w:p w:rsidR="00067061" w:rsidRDefault="00067061">
      <w:pPr>
        <w:rPr>
          <w:lang w:val="en-US"/>
        </w:rPr>
      </w:pPr>
      <w:r>
        <w:rPr>
          <w:noProof/>
          <w:lang w:val="en-US"/>
        </w:rPr>
        <w:lastRenderedPageBreak/>
        <w:drawing>
          <wp:inline distT="0" distB="0" distL="0" distR="0" wp14:anchorId="64438824" wp14:editId="0DCAA7BF">
            <wp:extent cx="5940425" cy="57511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633241.jpg"/>
                    <pic:cNvPicPr/>
                  </pic:nvPicPr>
                  <pic:blipFill>
                    <a:blip r:embed="rId9">
                      <a:extLst>
                        <a:ext uri="{28A0092B-C50C-407E-A947-70E740481C1C}">
                          <a14:useLocalDpi xmlns:a14="http://schemas.microsoft.com/office/drawing/2010/main" val="0"/>
                        </a:ext>
                      </a:extLst>
                    </a:blip>
                    <a:stretch>
                      <a:fillRect/>
                    </a:stretch>
                  </pic:blipFill>
                  <pic:spPr>
                    <a:xfrm>
                      <a:off x="0" y="0"/>
                      <a:ext cx="5940425" cy="5751195"/>
                    </a:xfrm>
                    <a:prstGeom prst="rect">
                      <a:avLst/>
                    </a:prstGeom>
                  </pic:spPr>
                </pic:pic>
              </a:graphicData>
            </a:graphic>
          </wp:inline>
        </w:drawing>
      </w:r>
    </w:p>
    <w:p w:rsidR="00067061" w:rsidRDefault="00067061">
      <w:pPr>
        <w:rPr>
          <w:lang w:val="en-US"/>
        </w:rPr>
      </w:pPr>
    </w:p>
    <w:p w:rsidR="0053341B" w:rsidRDefault="0053341B">
      <w:pPr>
        <w:rPr>
          <w:lang w:val="en-US"/>
        </w:rPr>
      </w:pPr>
    </w:p>
    <w:p w:rsidR="0053341B" w:rsidRDefault="0053341B">
      <w:pPr>
        <w:rPr>
          <w:lang w:val="en-US"/>
        </w:rPr>
      </w:pPr>
    </w:p>
    <w:p w:rsidR="00067061" w:rsidRDefault="00067061">
      <w:pPr>
        <w:rPr>
          <w:lang w:val="en-US"/>
        </w:rPr>
      </w:pPr>
      <w:r>
        <w:rPr>
          <w:lang w:val="en-US"/>
        </w:rPr>
        <w:t xml:space="preserve">Detailed description: </w:t>
      </w:r>
      <w:hyperlink r:id="rId10" w:history="1">
        <w:r w:rsidRPr="00EF3C41">
          <w:rPr>
            <w:rStyle w:val="a3"/>
            <w:lang w:val="en-US"/>
          </w:rPr>
          <w:t>http://technet.micro</w:t>
        </w:r>
        <w:r w:rsidRPr="00EF3C41">
          <w:rPr>
            <w:rStyle w:val="a3"/>
            <w:lang w:val="en-US"/>
          </w:rPr>
          <w:t>s</w:t>
        </w:r>
        <w:r w:rsidRPr="00EF3C41">
          <w:rPr>
            <w:rStyle w:val="a3"/>
            <w:lang w:val="en-US"/>
          </w:rPr>
          <w:t>oft.com/en-us/library/gg398798.aspx</w:t>
        </w:r>
      </w:hyperlink>
      <w:r>
        <w:rPr>
          <w:lang w:val="en-US"/>
        </w:rPr>
        <w:t xml:space="preserve"> </w:t>
      </w:r>
    </w:p>
    <w:p w:rsidR="00171B74" w:rsidRDefault="00171B74">
      <w:pPr>
        <w:rPr>
          <w:lang w:val="en-US"/>
        </w:rPr>
      </w:pPr>
    </w:p>
    <w:p w:rsidR="00171B74" w:rsidRPr="00D20A93" w:rsidRDefault="00171B74">
      <w:pPr>
        <w:rPr>
          <w:lang w:val="en-US"/>
        </w:rPr>
      </w:pPr>
      <w:r>
        <w:rPr>
          <w:rStyle w:val="ac"/>
          <w:rFonts w:ascii="Calibri" w:hAnsi="Calibri" w:cs="Segoe UI"/>
          <w:color w:val="2A2A2A"/>
          <w:bdr w:val="none" w:sz="0" w:space="0" w:color="auto" w:frame="1"/>
          <w:shd w:val="clear" w:color="auto" w:fill="FFFFFF"/>
          <w:lang w:val="en-US"/>
        </w:rPr>
        <w:t>!!! Set-</w:t>
      </w:r>
      <w:proofErr w:type="spellStart"/>
      <w:r>
        <w:rPr>
          <w:rStyle w:val="ac"/>
          <w:rFonts w:ascii="Calibri" w:hAnsi="Calibri" w:cs="Segoe UI"/>
          <w:color w:val="2A2A2A"/>
          <w:bdr w:val="none" w:sz="0" w:space="0" w:color="auto" w:frame="1"/>
          <w:shd w:val="clear" w:color="auto" w:fill="FFFFFF"/>
          <w:lang w:val="en-US"/>
        </w:rPr>
        <w:t>CsProxyConfiguration</w:t>
      </w:r>
      <w:proofErr w:type="spellEnd"/>
      <w:r>
        <w:rPr>
          <w:rStyle w:val="ac"/>
          <w:rFonts w:ascii="Calibri" w:hAnsi="Calibri" w:cs="Segoe UI"/>
          <w:color w:val="2A2A2A"/>
          <w:bdr w:val="none" w:sz="0" w:space="0" w:color="auto" w:frame="1"/>
          <w:shd w:val="clear" w:color="auto" w:fill="FFFFFF"/>
          <w:lang w:val="en-US"/>
        </w:rPr>
        <w:t xml:space="preserve"> –Identity global –</w:t>
      </w:r>
      <w:proofErr w:type="spellStart"/>
      <w:r>
        <w:rPr>
          <w:rStyle w:val="ac"/>
          <w:rFonts w:ascii="Calibri" w:hAnsi="Calibri" w:cs="Segoe UI"/>
          <w:color w:val="2A2A2A"/>
          <w:bdr w:val="none" w:sz="0" w:space="0" w:color="auto" w:frame="1"/>
          <w:shd w:val="clear" w:color="auto" w:fill="FFFFFF"/>
          <w:lang w:val="en-US"/>
        </w:rPr>
        <w:t>TreatAllClientsAsRemote</w:t>
      </w:r>
      <w:proofErr w:type="spellEnd"/>
      <w:r>
        <w:rPr>
          <w:rStyle w:val="ac"/>
          <w:rFonts w:ascii="Calibri" w:hAnsi="Calibri" w:cs="Segoe UI"/>
          <w:color w:val="2A2A2A"/>
          <w:bdr w:val="none" w:sz="0" w:space="0" w:color="auto" w:frame="1"/>
          <w:shd w:val="clear" w:color="auto" w:fill="FFFFFF"/>
          <w:lang w:val="en-US"/>
        </w:rPr>
        <w:t xml:space="preserve"> $false</w:t>
      </w:r>
    </w:p>
    <w:sectPr w:rsidR="00171B74" w:rsidRPr="00D20A9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3E" w:rsidRDefault="0036573E" w:rsidP="005662CC">
      <w:pPr>
        <w:spacing w:after="0" w:line="240" w:lineRule="auto"/>
      </w:pPr>
      <w:r>
        <w:separator/>
      </w:r>
    </w:p>
  </w:endnote>
  <w:endnote w:type="continuationSeparator" w:id="0">
    <w:p w:rsidR="0036573E" w:rsidRDefault="0036573E" w:rsidP="0056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55" w:rsidRDefault="00A12D55" w:rsidP="00AD4F89">
    <w:pPr>
      <w:pStyle w:val="a7"/>
      <w:pBdr>
        <w:bottom w:val="single" w:sz="12" w:space="1" w:color="auto"/>
      </w:pBdr>
      <w:jc w:val="center"/>
      <w:rPr>
        <w:lang w:val="en-US"/>
      </w:rPr>
    </w:pPr>
  </w:p>
  <w:p w:rsidR="00A12D55" w:rsidRDefault="00A12D55" w:rsidP="00AD4F89">
    <w:pPr>
      <w:pStyle w:val="a7"/>
      <w:jc w:val="center"/>
      <w:rPr>
        <w:lang w:val="en-US"/>
      </w:rPr>
    </w:pPr>
  </w:p>
  <w:p w:rsidR="00AD4F89" w:rsidRPr="00AF1529" w:rsidRDefault="00AF1529" w:rsidP="00AD4F89">
    <w:pPr>
      <w:pStyle w:val="a7"/>
      <w:jc w:val="center"/>
      <w:rPr>
        <w:lang w:val="en-US"/>
      </w:rPr>
    </w:pPr>
    <w:r>
      <w:rPr>
        <w:lang w:val="en-US"/>
      </w:rPr>
      <w:t>Hosting.Build</w:t>
    </w:r>
    <w:r w:rsidR="00AD4F89">
      <w:rPr>
        <w:lang w:val="en-US"/>
      </w:rPr>
      <w:t xml:space="preserve"> is a trademark of </w:t>
    </w:r>
    <w:r>
      <w:rPr>
        <w:lang w:val="en-US"/>
      </w:rPr>
      <w:t>Expert Services DOO</w:t>
    </w:r>
  </w:p>
  <w:p w:rsidR="00AD4F89" w:rsidRDefault="00AD4F89" w:rsidP="00AD4F89">
    <w:pPr>
      <w:pStyle w:val="a7"/>
      <w:jc w:val="center"/>
      <w:rPr>
        <w:lang w:val="en-US"/>
      </w:rPr>
    </w:pPr>
    <w:r>
      <w:rPr>
        <w:lang w:val="en-US"/>
      </w:rPr>
      <w:t>All rights reserved</w:t>
    </w:r>
  </w:p>
  <w:p w:rsidR="00AF1529" w:rsidRPr="005662CC" w:rsidRDefault="00AF1529" w:rsidP="00AD4F89">
    <w:pPr>
      <w:pStyle w:val="a7"/>
      <w:jc w:val="center"/>
      <w:rPr>
        <w:lang w:val="en-US"/>
      </w:rPr>
    </w:pPr>
    <w:hyperlink r:id="rId1" w:history="1">
      <w:r w:rsidRPr="00F776D0">
        <w:rPr>
          <w:rStyle w:val="a3"/>
          <w:lang w:val="en-US"/>
        </w:rPr>
        <w:t>sales@hosting.build</w:t>
      </w:r>
    </w:hyperlink>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3E" w:rsidRDefault="0036573E" w:rsidP="005662CC">
      <w:pPr>
        <w:spacing w:after="0" w:line="240" w:lineRule="auto"/>
      </w:pPr>
      <w:r>
        <w:separator/>
      </w:r>
    </w:p>
  </w:footnote>
  <w:footnote w:type="continuationSeparator" w:id="0">
    <w:p w:rsidR="0036573E" w:rsidRDefault="0036573E" w:rsidP="00566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1"/>
    <w:rsid w:val="0000309A"/>
    <w:rsid w:val="00067061"/>
    <w:rsid w:val="001502FE"/>
    <w:rsid w:val="00171B74"/>
    <w:rsid w:val="00294C14"/>
    <w:rsid w:val="00297EAF"/>
    <w:rsid w:val="003215D4"/>
    <w:rsid w:val="00322F22"/>
    <w:rsid w:val="0036573E"/>
    <w:rsid w:val="00471F8E"/>
    <w:rsid w:val="0053341B"/>
    <w:rsid w:val="005662CC"/>
    <w:rsid w:val="006A30FE"/>
    <w:rsid w:val="006B3D16"/>
    <w:rsid w:val="006C6823"/>
    <w:rsid w:val="00710BB8"/>
    <w:rsid w:val="007237CA"/>
    <w:rsid w:val="0074270F"/>
    <w:rsid w:val="00746372"/>
    <w:rsid w:val="00837E1F"/>
    <w:rsid w:val="008F0ECC"/>
    <w:rsid w:val="008F6EFE"/>
    <w:rsid w:val="00973E38"/>
    <w:rsid w:val="00986A3A"/>
    <w:rsid w:val="0099423A"/>
    <w:rsid w:val="009C0B71"/>
    <w:rsid w:val="009E22AA"/>
    <w:rsid w:val="00A024A0"/>
    <w:rsid w:val="00A12D55"/>
    <w:rsid w:val="00A64039"/>
    <w:rsid w:val="00AA768D"/>
    <w:rsid w:val="00AD4F89"/>
    <w:rsid w:val="00AF1529"/>
    <w:rsid w:val="00AF39D4"/>
    <w:rsid w:val="00B47EFC"/>
    <w:rsid w:val="00BF0C42"/>
    <w:rsid w:val="00CB7AE1"/>
    <w:rsid w:val="00D20A93"/>
    <w:rsid w:val="00D22656"/>
    <w:rsid w:val="00DD0F04"/>
    <w:rsid w:val="00DD3F0A"/>
    <w:rsid w:val="00E9538E"/>
    <w:rsid w:val="00F40FED"/>
    <w:rsid w:val="00FA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DEA6D"/>
  <w15:chartTrackingRefBased/>
  <w15:docId w15:val="{192572B1-443A-48D7-8E81-BC504C3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70F"/>
  </w:style>
  <w:style w:type="character" w:styleId="a3">
    <w:name w:val="Hyperlink"/>
    <w:basedOn w:val="a0"/>
    <w:uiPriority w:val="99"/>
    <w:unhideWhenUsed/>
    <w:rsid w:val="0074270F"/>
    <w:rPr>
      <w:color w:val="0000FF"/>
      <w:u w:val="single"/>
    </w:rPr>
  </w:style>
  <w:style w:type="table" w:styleId="a4">
    <w:name w:val="Table Grid"/>
    <w:basedOn w:val="a1"/>
    <w:uiPriority w:val="39"/>
    <w:rsid w:val="0099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mlinks-unlinked">
    <w:name w:val="skimlinks-unlinked"/>
    <w:basedOn w:val="a0"/>
    <w:rsid w:val="00D22656"/>
  </w:style>
  <w:style w:type="paragraph" w:styleId="a5">
    <w:name w:val="header"/>
    <w:basedOn w:val="a"/>
    <w:link w:val="a6"/>
    <w:uiPriority w:val="99"/>
    <w:unhideWhenUsed/>
    <w:rsid w:val="005662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62CC"/>
  </w:style>
  <w:style w:type="paragraph" w:styleId="a7">
    <w:name w:val="footer"/>
    <w:basedOn w:val="a"/>
    <w:link w:val="a8"/>
    <w:uiPriority w:val="99"/>
    <w:unhideWhenUsed/>
    <w:rsid w:val="005662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62CC"/>
  </w:style>
  <w:style w:type="paragraph" w:styleId="a9">
    <w:name w:val="Intense Quote"/>
    <w:basedOn w:val="a"/>
    <w:next w:val="a"/>
    <w:link w:val="aa"/>
    <w:uiPriority w:val="30"/>
    <w:qFormat/>
    <w:rsid w:val="0053341B"/>
    <w:pPr>
      <w:pBdr>
        <w:top w:val="single" w:sz="4" w:space="10" w:color="B01513" w:themeColor="accent1"/>
        <w:bottom w:val="single" w:sz="4" w:space="10" w:color="B01513" w:themeColor="accent1"/>
      </w:pBdr>
      <w:spacing w:before="360" w:after="360"/>
      <w:ind w:left="864" w:right="864"/>
      <w:jc w:val="center"/>
    </w:pPr>
    <w:rPr>
      <w:i/>
      <w:iCs/>
      <w:color w:val="B01513" w:themeColor="accent1"/>
    </w:rPr>
  </w:style>
  <w:style w:type="character" w:customStyle="1" w:styleId="aa">
    <w:name w:val="Выделенная цитата Знак"/>
    <w:basedOn w:val="a0"/>
    <w:link w:val="a9"/>
    <w:uiPriority w:val="30"/>
    <w:rsid w:val="0053341B"/>
    <w:rPr>
      <w:i/>
      <w:iCs/>
      <w:color w:val="B01513" w:themeColor="accent1"/>
    </w:rPr>
  </w:style>
  <w:style w:type="table" w:styleId="-22">
    <w:name w:val="Grid Table 2 Accent 2"/>
    <w:basedOn w:val="a1"/>
    <w:uiPriority w:val="47"/>
    <w:rsid w:val="0053341B"/>
    <w:pPr>
      <w:spacing w:after="0" w:line="240" w:lineRule="auto"/>
    </w:pPr>
    <w:tblPr>
      <w:tblStyleRowBandSize w:val="1"/>
      <w:tblStyleColBandSize w:val="1"/>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character" w:styleId="ab">
    <w:name w:val="Intense Emphasis"/>
    <w:basedOn w:val="a0"/>
    <w:uiPriority w:val="21"/>
    <w:qFormat/>
    <w:rsid w:val="00746372"/>
    <w:rPr>
      <w:i/>
      <w:iCs/>
      <w:color w:val="B01513" w:themeColor="accent1"/>
    </w:rPr>
  </w:style>
  <w:style w:type="character" w:styleId="ac">
    <w:name w:val="Strong"/>
    <w:basedOn w:val="a0"/>
    <w:uiPriority w:val="22"/>
    <w:qFormat/>
    <w:rsid w:val="00171B74"/>
    <w:rPr>
      <w:b/>
      <w:bCs/>
    </w:rPr>
  </w:style>
  <w:style w:type="character" w:styleId="ad">
    <w:name w:val="FollowedHyperlink"/>
    <w:basedOn w:val="a0"/>
    <w:uiPriority w:val="99"/>
    <w:semiHidden/>
    <w:unhideWhenUsed/>
    <w:rsid w:val="00AF1529"/>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6537">
      <w:bodyDiv w:val="1"/>
      <w:marLeft w:val="0"/>
      <w:marRight w:val="0"/>
      <w:marTop w:val="0"/>
      <w:marBottom w:val="0"/>
      <w:divBdr>
        <w:top w:val="none" w:sz="0" w:space="0" w:color="auto"/>
        <w:left w:val="none" w:sz="0" w:space="0" w:color="auto"/>
        <w:bottom w:val="none" w:sz="0" w:space="0" w:color="auto"/>
        <w:right w:val="none" w:sz="0" w:space="0" w:color="auto"/>
      </w:divBdr>
    </w:div>
    <w:div w:id="1246381191">
      <w:bodyDiv w:val="1"/>
      <w:marLeft w:val="0"/>
      <w:marRight w:val="0"/>
      <w:marTop w:val="0"/>
      <w:marBottom w:val="0"/>
      <w:divBdr>
        <w:top w:val="none" w:sz="0" w:space="0" w:color="auto"/>
        <w:left w:val="none" w:sz="0" w:space="0" w:color="auto"/>
        <w:bottom w:val="none" w:sz="0" w:space="0" w:color="auto"/>
        <w:right w:val="none" w:sz="0" w:space="0" w:color="auto"/>
      </w:divBdr>
    </w:div>
    <w:div w:id="1269894305">
      <w:bodyDiv w:val="1"/>
      <w:marLeft w:val="0"/>
      <w:marRight w:val="0"/>
      <w:marTop w:val="0"/>
      <w:marBottom w:val="0"/>
      <w:divBdr>
        <w:top w:val="none" w:sz="0" w:space="0" w:color="auto"/>
        <w:left w:val="none" w:sz="0" w:space="0" w:color="auto"/>
        <w:bottom w:val="none" w:sz="0" w:space="0" w:color="auto"/>
        <w:right w:val="none" w:sz="0" w:space="0" w:color="auto"/>
      </w:divBdr>
    </w:div>
    <w:div w:id="1501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en-us/library/gg39838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echnet.microsoft.com/en-us/library/gg398798.aspx" TargetMode="Externa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sales@hosting.buil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9DED-1CE3-43A8-9A27-9D7F794B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 Shchepetov</cp:lastModifiedBy>
  <cp:revision>27</cp:revision>
  <dcterms:created xsi:type="dcterms:W3CDTF">2014-08-29T08:08:00Z</dcterms:created>
  <dcterms:modified xsi:type="dcterms:W3CDTF">2016-06-02T16:15:00Z</dcterms:modified>
</cp:coreProperties>
</file>